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CB682" w14:textId="77777777" w:rsidR="007429AA" w:rsidRPr="00E870BE" w:rsidRDefault="007429AA" w:rsidP="007429AA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0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OUTLOOK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E870BE">
        <w:rPr>
          <w:rFonts w:ascii="Times New Roman" w:hAnsi="Times New Roman" w:cs="Times New Roman"/>
          <w:b/>
          <w:sz w:val="24"/>
          <w:szCs w:val="24"/>
          <w:lang w:val="en-US"/>
        </w:rPr>
        <w:t>TURKISH ECONOMY</w:t>
      </w:r>
    </w:p>
    <w:p w14:paraId="5B32880B" w14:textId="77777777" w:rsidR="007429AA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9A00A3" w14:textId="77777777" w:rsidR="007429AA" w:rsidRPr="00EA4C9A" w:rsidRDefault="0065035A" w:rsidP="00EA4C9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World’s 17</w:t>
      </w:r>
      <w:r w:rsidR="007429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505C8">
        <w:rPr>
          <w:rFonts w:ascii="Times New Roman" w:hAnsi="Times New Roman" w:cs="Times New Roman"/>
          <w:sz w:val="24"/>
          <w:szCs w:val="24"/>
          <w:lang w:val="en-US"/>
        </w:rPr>
        <w:t xml:space="preserve"> largest economy, Europe’s 6</w:t>
      </w:r>
      <w:r w:rsidR="007429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="00801625">
        <w:rPr>
          <w:rFonts w:ascii="Times New Roman" w:hAnsi="Times New Roman" w:cs="Times New Roman"/>
          <w:sz w:val="24"/>
          <w:szCs w:val="24"/>
          <w:lang w:val="en-US"/>
        </w:rPr>
        <w:t>largest economy (2016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4B77">
        <w:rPr>
          <w:rFonts w:ascii="Times New Roman" w:hAnsi="Times New Roman" w:cs="Times New Roman"/>
          <w:sz w:val="24"/>
          <w:szCs w:val="24"/>
          <w:lang w:val="en-US"/>
        </w:rPr>
        <w:t>current GDP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3462" w:rsidRPr="00EA4C9A">
        <w:rPr>
          <w:rFonts w:ascii="Times New Roman" w:hAnsi="Times New Roman" w:cs="Times New Roman"/>
          <w:sz w:val="24"/>
          <w:szCs w:val="24"/>
          <w:lang w:val="en-US"/>
        </w:rPr>
        <w:t xml:space="preserve"> (According to the new GDP calculation methodology integrated with the System of National Accounts 2008 (2008 SNA) and the European System of National and Regional Accounts (ESA 2010))</w:t>
      </w:r>
    </w:p>
    <w:p w14:paraId="7B17439B" w14:textId="77777777" w:rsidR="007429AA" w:rsidRPr="00E870BE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897BB5" w14:textId="77777777" w:rsidR="007429AA" w:rsidRPr="001C338B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Area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814.578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6F37">
        <w:rPr>
          <w:rFonts w:ascii="Times New Roman" w:hAnsi="Times New Roman" w:cs="Times New Roman"/>
          <w:bCs/>
          <w:sz w:val="24"/>
          <w:szCs w:val="24"/>
          <w:lang w:val="en"/>
        </w:rPr>
        <w:t>km</w:t>
      </w:r>
      <w:r w:rsidRPr="009E6F37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(projection: 779.452 </w:t>
      </w:r>
      <w:r w:rsidRPr="009E6F37">
        <w:rPr>
          <w:rFonts w:ascii="Times New Roman" w:hAnsi="Times New Roman" w:cs="Times New Roman"/>
          <w:bCs/>
          <w:sz w:val="24"/>
          <w:szCs w:val="24"/>
          <w:lang w:val="en"/>
        </w:rPr>
        <w:t>km</w:t>
      </w:r>
      <w:r w:rsidRPr="009E6F37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5BA5E6" w14:textId="77777777" w:rsidR="007429AA" w:rsidRPr="001C338B" w:rsidRDefault="007429AA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F8258D" w14:textId="77777777" w:rsidR="007429AA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Population</w:t>
      </w:r>
      <w:r>
        <w:rPr>
          <w:rFonts w:ascii="Times New Roman" w:hAnsi="Times New Roman" w:cs="Times New Roman"/>
          <w:sz w:val="24"/>
          <w:szCs w:val="24"/>
          <w:lang w:val="en-US"/>
        </w:rPr>
        <w:t>: 78.</w:t>
      </w:r>
      <w:r w:rsidR="00AF280E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million</w:t>
      </w:r>
      <w:r w:rsidR="002C2CA1">
        <w:rPr>
          <w:rFonts w:ascii="Times New Roman" w:hAnsi="Times New Roman" w:cs="Times New Roman"/>
          <w:sz w:val="24"/>
          <w:szCs w:val="24"/>
          <w:lang w:val="en-US"/>
        </w:rPr>
        <w:t xml:space="preserve"> (2016</w:t>
      </w:r>
      <w:r w:rsidR="0065035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03C54028" w14:textId="77777777" w:rsidR="0065035A" w:rsidRPr="0065035A" w:rsidRDefault="0065035A" w:rsidP="0065035A">
      <w:pPr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78.7 million (2015)</w:t>
      </w:r>
    </w:p>
    <w:p w14:paraId="413AFF45" w14:textId="77777777" w:rsidR="007429AA" w:rsidRPr="001C338B" w:rsidRDefault="007429AA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5FD183" w14:textId="77777777" w:rsidR="007429AA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Labour force</w:t>
      </w:r>
      <w:r w:rsidRPr="001C33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F280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21ED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4CF2">
        <w:rPr>
          <w:rFonts w:ascii="Times New Roman" w:hAnsi="Times New Roman" w:cs="Times New Roman"/>
          <w:sz w:val="24"/>
          <w:szCs w:val="24"/>
          <w:lang w:val="en-US"/>
        </w:rPr>
        <w:t>54</w:t>
      </w:r>
      <w:r w:rsidRPr="001C338B">
        <w:rPr>
          <w:rFonts w:ascii="Times New Roman" w:hAnsi="Times New Roman" w:cs="Times New Roman"/>
          <w:sz w:val="24"/>
          <w:szCs w:val="24"/>
          <w:lang w:val="en-US"/>
        </w:rPr>
        <w:t xml:space="preserve"> million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(2016, </w:t>
      </w:r>
      <w:r w:rsidR="00D34CF2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69F54117" w14:textId="77777777" w:rsidR="00662CFB" w:rsidRDefault="00662CFB" w:rsidP="00662CF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CEF988" w14:textId="77777777" w:rsidR="00662CFB" w:rsidRDefault="00662CFB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Employment Rate</w:t>
      </w:r>
      <w:r w:rsidRPr="00662CFB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D34CF2">
        <w:rPr>
          <w:rFonts w:ascii="Times New Roman" w:hAnsi="Times New Roman" w:cs="Times New Roman"/>
          <w:sz w:val="24"/>
          <w:szCs w:val="24"/>
          <w:lang w:val="en-US"/>
        </w:rPr>
        <w:t>6.3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% (2016, </w:t>
      </w:r>
      <w:r w:rsidR="00D34CF2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1F4798A5" w14:textId="77777777" w:rsidR="007429AA" w:rsidRPr="007429AA" w:rsidRDefault="007429AA" w:rsidP="007429A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8B7BB4D" w14:textId="77777777" w:rsidR="007429AA" w:rsidRDefault="00662CFB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Unemployment R</w:t>
      </w:r>
      <w:r w:rsidR="007429AA" w:rsidRPr="00FE2D70">
        <w:rPr>
          <w:rFonts w:ascii="Times New Roman" w:hAnsi="Times New Roman" w:cs="Times New Roman"/>
          <w:b/>
          <w:sz w:val="24"/>
          <w:szCs w:val="24"/>
          <w:lang w:val="en-US"/>
        </w:rPr>
        <w:t>ate</w:t>
      </w:r>
      <w:r w:rsidR="00997BAA" w:rsidRPr="00997BA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29AA" w:rsidRPr="00457B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21E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2D3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24B77" w:rsidRPr="00457B63">
        <w:rPr>
          <w:rFonts w:ascii="Times New Roman" w:hAnsi="Times New Roman" w:cs="Times New Roman"/>
          <w:sz w:val="24"/>
          <w:szCs w:val="24"/>
          <w:lang w:val="en-US"/>
        </w:rPr>
        <w:t xml:space="preserve"> % </w:t>
      </w:r>
      <w:r w:rsidR="00997B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7BAA" w:rsidRPr="00457B6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7BAA">
        <w:rPr>
          <w:rFonts w:ascii="Times New Roman" w:hAnsi="Times New Roman" w:cs="Times New Roman"/>
          <w:sz w:val="24"/>
          <w:szCs w:val="24"/>
          <w:lang w:val="en-US"/>
        </w:rPr>
        <w:t xml:space="preserve">2016, </w:t>
      </w:r>
      <w:r w:rsidR="00582D33">
        <w:rPr>
          <w:rFonts w:ascii="Times New Roman" w:hAnsi="Times New Roman" w:cs="Times New Roman"/>
          <w:sz w:val="24"/>
          <w:szCs w:val="24"/>
          <w:lang w:val="en-US"/>
        </w:rPr>
        <w:t>December</w:t>
      </w:r>
      <w:r w:rsidR="00997B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5B993148" w14:textId="77777777" w:rsidR="00A43551" w:rsidRPr="00A43551" w:rsidRDefault="00A43551" w:rsidP="00A435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F04711C" w14:textId="77777777" w:rsidR="00A43551" w:rsidRPr="00A43551" w:rsidRDefault="00A43551" w:rsidP="00A43551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B63">
        <w:rPr>
          <w:rFonts w:ascii="Times New Roman" w:hAnsi="Times New Roman"/>
          <w:sz w:val="24"/>
          <w:szCs w:val="24"/>
          <w:lang w:val="en-US"/>
        </w:rPr>
        <w:t>Between 200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Pr="00457B63">
        <w:rPr>
          <w:rFonts w:ascii="Times New Roman" w:hAnsi="Times New Roman"/>
          <w:sz w:val="24"/>
          <w:szCs w:val="24"/>
          <w:lang w:val="en-US"/>
        </w:rPr>
        <w:t>-201</w:t>
      </w:r>
      <w:r w:rsidR="00BC3599">
        <w:rPr>
          <w:rFonts w:ascii="Times New Roman" w:hAnsi="Times New Roman"/>
          <w:sz w:val="24"/>
          <w:szCs w:val="24"/>
          <w:lang w:val="en-US"/>
        </w:rPr>
        <w:t>6</w:t>
      </w:r>
      <w:r w:rsidRPr="00457B63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="00D34CF2">
        <w:rPr>
          <w:rFonts w:ascii="Times New Roman" w:hAnsi="Times New Roman"/>
          <w:sz w:val="24"/>
          <w:szCs w:val="24"/>
          <w:lang w:val="en-US"/>
        </w:rPr>
        <w:t>.3</w:t>
      </w:r>
      <w:r w:rsidRPr="00457B63">
        <w:rPr>
          <w:rFonts w:ascii="Times New Roman" w:hAnsi="Times New Roman"/>
          <w:sz w:val="24"/>
          <w:szCs w:val="24"/>
          <w:lang w:val="en-US"/>
        </w:rPr>
        <w:t xml:space="preserve"> million new jobs were created.</w:t>
      </w:r>
    </w:p>
    <w:p w14:paraId="08740828" w14:textId="77777777" w:rsidR="007429AA" w:rsidRPr="001C338B" w:rsidRDefault="007429AA" w:rsidP="007429A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6996DC" w14:textId="77777777" w:rsidR="007429AA" w:rsidRDefault="007429AA" w:rsidP="008D1BF9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GDP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06A8A">
        <w:rPr>
          <w:rFonts w:ascii="Times New Roman" w:hAnsi="Times New Roman" w:cs="Times New Roman"/>
          <w:sz w:val="24"/>
          <w:szCs w:val="24"/>
          <w:lang w:val="en-US"/>
        </w:rPr>
        <w:t>857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billion USD </w:t>
      </w:r>
      <w:r w:rsidR="00C454BE">
        <w:rPr>
          <w:rFonts w:ascii="Times New Roman" w:hAnsi="Times New Roman" w:cs="Times New Roman"/>
          <w:sz w:val="24"/>
          <w:szCs w:val="24"/>
          <w:lang w:val="en-US"/>
        </w:rPr>
        <w:t>(2016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7BCD55D4" w14:textId="77777777" w:rsidR="007429AA" w:rsidRPr="00F30F9C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62930A" w14:textId="77777777" w:rsidR="00FE2D70" w:rsidRDefault="007429AA" w:rsidP="00FE2D70">
      <w:pPr>
        <w:pStyle w:val="ListParagraph"/>
        <w:numPr>
          <w:ilvl w:val="0"/>
          <w:numId w:val="1"/>
        </w:numPr>
        <w:spacing w:after="0" w:line="240" w:lineRule="auto"/>
        <w:ind w:left="708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GDP growth</w:t>
      </w:r>
      <w:r w:rsidR="00FE2D70" w:rsidRPr="00FE2D70">
        <w:rPr>
          <w:rFonts w:ascii="Times New Roman" w:hAnsi="Times New Roman" w:cs="Times New Roman"/>
          <w:sz w:val="24"/>
          <w:szCs w:val="24"/>
          <w:lang w:val="en-US"/>
        </w:rPr>
        <w:t xml:space="preserve"> (at constant prices</w:t>
      </w:r>
      <w:r w:rsidRPr="00FE2D7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FE2D7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3AFA532" w14:textId="77777777" w:rsidR="004B4401" w:rsidRPr="004B4401" w:rsidRDefault="004B4401" w:rsidP="004B440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2015</w:t>
      </w:r>
      <w:r w:rsidR="002C2CA1">
        <w:rPr>
          <w:rFonts w:ascii="Times New Roman" w:hAnsi="Times New Roman" w:cs="Times New Roman"/>
          <w:sz w:val="24"/>
          <w:szCs w:val="24"/>
        </w:rPr>
        <w:t>:</w:t>
      </w:r>
      <w:r w:rsidRPr="004B4401">
        <w:rPr>
          <w:rFonts w:ascii="Times New Roman" w:hAnsi="Times New Roman" w:cs="Times New Roman"/>
          <w:sz w:val="24"/>
          <w:szCs w:val="24"/>
        </w:rPr>
        <w:t xml:space="preserve"> </w:t>
      </w:r>
      <w:r w:rsidR="00624B77">
        <w:rPr>
          <w:rFonts w:ascii="Times New Roman" w:hAnsi="Times New Roman" w:cs="Times New Roman"/>
          <w:sz w:val="24"/>
          <w:szCs w:val="24"/>
        </w:rPr>
        <w:t xml:space="preserve">   </w:t>
      </w:r>
      <w:r w:rsidRPr="004B4401">
        <w:rPr>
          <w:rFonts w:ascii="Times New Roman" w:hAnsi="Times New Roman" w:cs="Times New Roman"/>
          <w:sz w:val="24"/>
          <w:szCs w:val="24"/>
        </w:rPr>
        <w:t>6.1</w:t>
      </w:r>
      <w:r w:rsidR="00624B77" w:rsidRPr="004B4401">
        <w:rPr>
          <w:rFonts w:ascii="Times New Roman" w:hAnsi="Times New Roman" w:cs="Times New Roman"/>
          <w:sz w:val="24"/>
          <w:szCs w:val="24"/>
        </w:rPr>
        <w:t>%</w:t>
      </w:r>
    </w:p>
    <w:p w14:paraId="146162B5" w14:textId="77777777" w:rsidR="00FE2D70" w:rsidRPr="00FE2D70" w:rsidRDefault="00FE2D70" w:rsidP="00FE2D70">
      <w:pPr>
        <w:pStyle w:val="ListParagraph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sz w:val="24"/>
          <w:szCs w:val="24"/>
          <w:lang w:val="en-US"/>
        </w:rPr>
        <w:t>2016 1</w:t>
      </w:r>
      <w:r w:rsidR="002C2C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FE2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Quarter</w:t>
      </w:r>
      <w:r w:rsidRPr="00FE2D70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6F2ACD">
        <w:rPr>
          <w:rFonts w:ascii="Times New Roman" w:hAnsi="Times New Roman" w:cs="Times New Roman"/>
          <w:sz w:val="24"/>
          <w:szCs w:val="24"/>
          <w:lang w:val="en-US"/>
        </w:rPr>
        <w:t>4.8</w:t>
      </w:r>
      <w:r w:rsidR="00624B77" w:rsidRPr="00FE2D70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771470AC" w14:textId="77777777" w:rsidR="00FE2D70" w:rsidRPr="00FE2D70" w:rsidRDefault="002C2CA1" w:rsidP="00FE2D70">
      <w:pPr>
        <w:pStyle w:val="ListParagraph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FE2D70" w:rsidRPr="00FE2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D70">
        <w:rPr>
          <w:rFonts w:ascii="Times New Roman" w:hAnsi="Times New Roman" w:cs="Times New Roman"/>
          <w:sz w:val="24"/>
          <w:szCs w:val="24"/>
          <w:lang w:val="en-US"/>
        </w:rPr>
        <w:t>Quarter</w:t>
      </w:r>
      <w:r w:rsidR="00A7771A">
        <w:rPr>
          <w:rFonts w:ascii="Times New Roman" w:hAnsi="Times New Roman" w:cs="Times New Roman"/>
          <w:sz w:val="24"/>
          <w:szCs w:val="24"/>
          <w:lang w:val="en-US"/>
        </w:rPr>
        <w:t>:  5</w:t>
      </w:r>
      <w:r w:rsidR="00FE2D70" w:rsidRPr="00FE2D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77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24B77" w:rsidRPr="00FE2D70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66337C28" w14:textId="77777777" w:rsidR="00FE2D70" w:rsidRDefault="00FE2D70" w:rsidP="00FE2D7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sz w:val="24"/>
          <w:szCs w:val="24"/>
          <w:lang w:val="en-US"/>
        </w:rPr>
        <w:t>2016 3</w:t>
      </w:r>
      <w:r w:rsidR="002C2C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FE2D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Quarter</w:t>
      </w:r>
      <w:r w:rsidR="00B35A76">
        <w:rPr>
          <w:rFonts w:ascii="Times New Roman" w:hAnsi="Times New Roman" w:cs="Times New Roman"/>
          <w:sz w:val="24"/>
          <w:szCs w:val="24"/>
          <w:lang w:val="en-US"/>
        </w:rPr>
        <w:t>: -1.3</w:t>
      </w:r>
      <w:r w:rsidR="00624B77" w:rsidRPr="00FE2D70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602EE62B" w14:textId="77777777" w:rsidR="00AA697B" w:rsidRDefault="00AA697B" w:rsidP="006070AB">
      <w:pPr>
        <w:pStyle w:val="ListParagraph"/>
        <w:tabs>
          <w:tab w:val="left" w:pos="120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2016 4</w:t>
      </w:r>
      <w:r w:rsidRPr="00AA69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Quarter:   3.5%</w:t>
      </w:r>
    </w:p>
    <w:p w14:paraId="3BE93011" w14:textId="77777777" w:rsidR="00483886" w:rsidRDefault="00AA697B" w:rsidP="00483886">
      <w:pPr>
        <w:pStyle w:val="ListParagraph"/>
        <w:tabs>
          <w:tab w:val="left" w:pos="120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2016                  :   2.9%</w:t>
      </w:r>
    </w:p>
    <w:p w14:paraId="0240DF15" w14:textId="7BE5D14A" w:rsidR="00FE2D70" w:rsidRPr="00483886" w:rsidRDefault="006070AB" w:rsidP="00483886">
      <w:pPr>
        <w:pStyle w:val="ListParagraph"/>
        <w:tabs>
          <w:tab w:val="left" w:pos="120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886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DBAEBD8" w14:textId="76D50DA0" w:rsidR="007429AA" w:rsidRPr="00FE2D70" w:rsidRDefault="007429AA" w:rsidP="00FE2D70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lang w:val="en-US"/>
        </w:rPr>
      </w:pPr>
      <w:r w:rsidRPr="00FE2D70">
        <w:rPr>
          <w:rFonts w:ascii="Times New Roman" w:hAnsi="Times New Roman" w:cs="Times New Roman"/>
          <w:sz w:val="20"/>
          <w:lang w:val="en-US"/>
        </w:rPr>
        <w:t xml:space="preserve">(Average growth rate of </w:t>
      </w:r>
      <w:r w:rsidR="00704299" w:rsidRPr="00FE2D70">
        <w:rPr>
          <w:rFonts w:ascii="Times New Roman" w:hAnsi="Times New Roman" w:cs="Times New Roman"/>
          <w:sz w:val="20"/>
          <w:lang w:val="en-US"/>
        </w:rPr>
        <w:t>7.1</w:t>
      </w:r>
      <w:r w:rsidRPr="00FE2D70">
        <w:rPr>
          <w:rFonts w:ascii="Times New Roman" w:hAnsi="Times New Roman" w:cs="Times New Roman"/>
          <w:sz w:val="20"/>
          <w:lang w:val="en-US"/>
        </w:rPr>
        <w:t xml:space="preserve"> % between 20</w:t>
      </w:r>
      <w:r w:rsidR="00704299" w:rsidRPr="00FE2D70">
        <w:rPr>
          <w:rFonts w:ascii="Times New Roman" w:hAnsi="Times New Roman" w:cs="Times New Roman"/>
          <w:sz w:val="20"/>
          <w:lang w:val="en-US"/>
        </w:rPr>
        <w:t>11</w:t>
      </w:r>
      <w:r w:rsidR="00B57FA0">
        <w:rPr>
          <w:rFonts w:ascii="Times New Roman" w:hAnsi="Times New Roman" w:cs="Times New Roman"/>
          <w:sz w:val="20"/>
          <w:lang w:val="en-US"/>
        </w:rPr>
        <w:t xml:space="preserve"> and 2015)</w:t>
      </w:r>
      <w:r w:rsidRPr="00FE2D70">
        <w:rPr>
          <w:rFonts w:ascii="Times New Roman" w:hAnsi="Times New Roman" w:cs="Times New Roman"/>
          <w:bCs/>
          <w:sz w:val="20"/>
        </w:rPr>
        <w:t xml:space="preserve"> </w:t>
      </w:r>
      <w:bookmarkStart w:id="0" w:name="_GoBack"/>
      <w:bookmarkEnd w:id="0"/>
    </w:p>
    <w:p w14:paraId="56F66E53" w14:textId="77777777" w:rsidR="007429AA" w:rsidRPr="00CD5031" w:rsidRDefault="007429AA" w:rsidP="007429AA">
      <w:pPr>
        <w:pStyle w:val="ListParagraph"/>
        <w:spacing w:after="0" w:line="240" w:lineRule="auto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3411D" w14:textId="77777777" w:rsidR="007429AA" w:rsidRPr="001C338B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Since 2002 </w:t>
      </w:r>
      <w:r w:rsidRPr="00662CFB">
        <w:rPr>
          <w:rFonts w:ascii="Times New Roman" w:hAnsi="Times New Roman" w:cs="Times New Roman"/>
          <w:b/>
          <w:bCs/>
          <w:sz w:val="24"/>
          <w:szCs w:val="24"/>
          <w:lang w:val="en-US"/>
        </w:rPr>
        <w:t>GDP per capita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increased from 3,492 USD to </w:t>
      </w:r>
      <w:r w:rsidR="00B3732F" w:rsidRPr="00BC3599">
        <w:rPr>
          <w:rFonts w:ascii="Times New Roman" w:hAnsi="Times New Roman" w:cs="Times New Roman"/>
          <w:b/>
          <w:sz w:val="24"/>
          <w:szCs w:val="24"/>
        </w:rPr>
        <w:t xml:space="preserve">10.807 </w:t>
      </w:r>
      <w:r w:rsidR="00B3732F" w:rsidRPr="00BC3599">
        <w:rPr>
          <w:rFonts w:ascii="Times New Roman" w:hAnsi="Times New Roman" w:cs="Times New Roman"/>
          <w:b/>
          <w:bCs/>
          <w:sz w:val="24"/>
          <w:szCs w:val="24"/>
          <w:lang w:val="en-US"/>
        </w:rPr>
        <w:t>USD in 2016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According to Purchasing Power Parity (PPP) GNI per capita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passed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19.</w:t>
      </w:r>
      <w:r w:rsidR="00EF1313">
        <w:rPr>
          <w:rFonts w:ascii="Times New Roman" w:hAnsi="Times New Roman" w:cs="Times New Roman"/>
          <w:bCs/>
          <w:sz w:val="24"/>
          <w:szCs w:val="24"/>
          <w:lang w:val="en-US"/>
        </w:rPr>
        <w:t>917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62CFB" w:rsidRPr="00E870BE">
        <w:rPr>
          <w:rFonts w:ascii="Times New Roman" w:hAnsi="Times New Roman" w:cs="Times New Roman"/>
          <w:bCs/>
          <w:sz w:val="24"/>
          <w:szCs w:val="24"/>
          <w:lang w:val="en-US"/>
        </w:rPr>
        <w:t>USD</w:t>
      </w:r>
      <w:r w:rsidR="00662C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in 2015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3316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2C2CA1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B72D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his figure will be updated according to </w:t>
      </w:r>
      <w:r w:rsidR="004029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="00B72D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new calculation methods harmonized with </w:t>
      </w:r>
      <w:r w:rsidR="00662CFB">
        <w:rPr>
          <w:rFonts w:ascii="Times New Roman" w:hAnsi="Times New Roman" w:cs="Times New Roman"/>
          <w:bCs/>
          <w:sz w:val="24"/>
          <w:szCs w:val="24"/>
          <w:lang w:val="en-US"/>
        </w:rPr>
        <w:t>European</w:t>
      </w:r>
      <w:r w:rsidR="00B72DC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standards.)</w:t>
      </w:r>
      <w:r w:rsidR="00997BA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</w:p>
    <w:p w14:paraId="7D15E301" w14:textId="77777777" w:rsidR="007429AA" w:rsidRPr="001C338B" w:rsidRDefault="007429AA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B285AA" w14:textId="77777777" w:rsidR="007429AA" w:rsidRPr="002A2C2F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bCs/>
          <w:sz w:val="24"/>
          <w:szCs w:val="24"/>
          <w:lang w:val="en-US"/>
        </w:rPr>
        <w:t>Inflation</w:t>
      </w:r>
      <w:r w:rsidR="00C21ADC" w:rsidRPr="002A2C2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A4540D" w:rsidRPr="002A2C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EF1313" w:rsidRPr="002A2C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2002      29.7 %</w:t>
      </w:r>
    </w:p>
    <w:p w14:paraId="1ABE9E9B" w14:textId="77777777" w:rsidR="007429AA" w:rsidRPr="002A2C2F" w:rsidRDefault="007429AA" w:rsidP="007429A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F1313" w:rsidRPr="002A2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C2F">
        <w:rPr>
          <w:rFonts w:ascii="Times New Roman" w:hAnsi="Times New Roman" w:cs="Times New Roman"/>
          <w:sz w:val="24"/>
          <w:szCs w:val="24"/>
          <w:lang w:val="en-US"/>
        </w:rPr>
        <w:t>10.45 %</w:t>
      </w:r>
    </w:p>
    <w:p w14:paraId="1DD75D9A" w14:textId="77777777" w:rsidR="007429AA" w:rsidRPr="002A2C2F" w:rsidRDefault="007429AA" w:rsidP="007429AA">
      <w:pPr>
        <w:pStyle w:val="ListParagraph"/>
        <w:spacing w:after="0" w:line="240" w:lineRule="auto"/>
        <w:ind w:left="1416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lang w:val="en-US"/>
        </w:rPr>
        <w:t>2012      6.16 %</w:t>
      </w:r>
    </w:p>
    <w:p w14:paraId="6A2EA6BF" w14:textId="77777777" w:rsidR="007429AA" w:rsidRPr="002A2C2F" w:rsidRDefault="007429AA" w:rsidP="007429AA">
      <w:pPr>
        <w:pStyle w:val="ListParagraph"/>
        <w:spacing w:after="0" w:line="240" w:lineRule="auto"/>
        <w:ind w:left="1416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lang w:val="en-US"/>
        </w:rPr>
        <w:t>2013      7.40 %</w:t>
      </w:r>
    </w:p>
    <w:p w14:paraId="1ABFEA5F" w14:textId="77777777" w:rsidR="007429AA" w:rsidRPr="002A2C2F" w:rsidRDefault="007429AA" w:rsidP="007429AA">
      <w:pPr>
        <w:pStyle w:val="ListParagraph"/>
        <w:spacing w:after="0" w:line="240" w:lineRule="auto"/>
        <w:ind w:left="1416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lang w:val="en-US"/>
        </w:rPr>
        <w:t>2014      8.17 %</w:t>
      </w:r>
    </w:p>
    <w:p w14:paraId="4F8EF116" w14:textId="77777777" w:rsidR="007429AA" w:rsidRPr="002A2C2F" w:rsidRDefault="007429AA" w:rsidP="007429AA">
      <w:pPr>
        <w:pStyle w:val="ListParagraph"/>
        <w:spacing w:after="0" w:line="240" w:lineRule="auto"/>
        <w:ind w:left="1416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lang w:val="en-US"/>
        </w:rPr>
        <w:t xml:space="preserve">2015      </w:t>
      </w:r>
      <w:r w:rsidR="00EF1313" w:rsidRPr="002A2C2F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2A2C2F">
        <w:rPr>
          <w:rFonts w:ascii="Times New Roman" w:hAnsi="Times New Roman" w:cs="Times New Roman"/>
          <w:sz w:val="24"/>
          <w:szCs w:val="24"/>
          <w:lang w:val="en-US"/>
        </w:rPr>
        <w:t>81 %</w:t>
      </w:r>
    </w:p>
    <w:p w14:paraId="272E5ED5" w14:textId="0FCB0D5A" w:rsidR="007429AA" w:rsidRDefault="00C21ADC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2C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2A2C2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  <w:t xml:space="preserve">                 </w:t>
      </w:r>
      <w:r w:rsidRPr="002A2C2F">
        <w:rPr>
          <w:rFonts w:ascii="Times New Roman" w:hAnsi="Times New Roman" w:cs="Times New Roman"/>
          <w:sz w:val="24"/>
          <w:szCs w:val="24"/>
          <w:lang w:val="en-US"/>
        </w:rPr>
        <w:t xml:space="preserve">2016      </w:t>
      </w:r>
      <w:r w:rsidR="00422385" w:rsidRPr="002A2C2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B64E7" w:rsidRPr="002A2C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2385" w:rsidRPr="002A2C2F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FB64E7" w:rsidRPr="002A2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886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2EE484E5" w14:textId="4C0BB778" w:rsidR="00483886" w:rsidRDefault="00483886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2017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11.3  %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(2017 March)</w:t>
      </w:r>
    </w:p>
    <w:p w14:paraId="52ACD8F3" w14:textId="77777777" w:rsidR="00483886" w:rsidRPr="002A2C2F" w:rsidRDefault="00483886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38F8DB1C" w14:textId="77777777" w:rsidR="007429AA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sz w:val="24"/>
          <w:szCs w:val="24"/>
          <w:lang w:val="en-US"/>
        </w:rPr>
        <w:t>Central Government Budget Deficit / GDP</w:t>
      </w:r>
      <w:r w:rsidRPr="006C64B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F23D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46A1">
        <w:rPr>
          <w:rFonts w:ascii="Times New Roman" w:hAnsi="Times New Roman" w:cs="Times New Roman"/>
          <w:sz w:val="24"/>
          <w:szCs w:val="24"/>
          <w:lang w:val="en-US"/>
        </w:rPr>
        <w:t>1.1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%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6F9">
        <w:rPr>
          <w:rFonts w:ascii="Times New Roman" w:hAnsi="Times New Roman" w:cs="Times New Roman"/>
          <w:sz w:val="24"/>
          <w:szCs w:val="24"/>
          <w:lang w:val="en-US"/>
        </w:rPr>
        <w:t>(2016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46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06F9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3DFA90D2" w14:textId="77777777" w:rsidR="007429AA" w:rsidRPr="00E870BE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92A559" w14:textId="77777777" w:rsidR="007429AA" w:rsidRPr="00451B6C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bCs/>
          <w:sz w:val="24"/>
          <w:szCs w:val="24"/>
          <w:lang w:val="en-US"/>
        </w:rPr>
        <w:t>FDI inflow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7D16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B5D99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B5D99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 </w:t>
      </w:r>
      <w:r w:rsidRPr="00451B6C">
        <w:rPr>
          <w:rFonts w:ascii="Times New Roman" w:hAnsi="Times New Roman" w:cs="Times New Roman"/>
          <w:bCs/>
          <w:sz w:val="24"/>
          <w:szCs w:val="24"/>
          <w:lang w:val="en-US"/>
        </w:rPr>
        <w:t>(2016)</w:t>
      </w:r>
      <w:r w:rsidR="007B5D9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</w:p>
    <w:p w14:paraId="24DE381A" w14:textId="77777777" w:rsidR="007429AA" w:rsidRPr="00FE2D70" w:rsidRDefault="00FE2D70" w:rsidP="00FE2D70">
      <w:pPr>
        <w:spacing w:after="0" w:line="240" w:lineRule="auto"/>
        <w:ind w:left="1416" w:firstLine="4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6E5">
        <w:rPr>
          <w:rFonts w:ascii="Times New Roman" w:hAnsi="Times New Roman" w:cs="Times New Roman"/>
          <w:sz w:val="24"/>
          <w:szCs w:val="24"/>
          <w:lang w:val="en-US"/>
        </w:rPr>
        <w:t>17.1</w:t>
      </w:r>
      <w:r w:rsidR="007429AA" w:rsidRPr="0082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9AA" w:rsidRPr="008256C9">
        <w:rPr>
          <w:rFonts w:ascii="Times New Roman" w:hAnsi="Times New Roman" w:cs="Times New Roman"/>
          <w:bCs/>
          <w:sz w:val="24"/>
          <w:szCs w:val="24"/>
          <w:lang w:val="en-US"/>
        </w:rPr>
        <w:t>billion USD (2015)</w:t>
      </w:r>
      <w:r w:rsidR="007B5D99" w:rsidRPr="007B5D9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</w:t>
      </w:r>
    </w:p>
    <w:p w14:paraId="7C1AFF14" w14:textId="77777777" w:rsidR="007429AA" w:rsidRPr="005964C9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B8A6F7" w14:textId="77777777" w:rsidR="007429AA" w:rsidRPr="00451B6C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bCs/>
          <w:sz w:val="24"/>
          <w:szCs w:val="24"/>
          <w:lang w:val="en-US"/>
        </w:rPr>
        <w:t>Exports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1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42.6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billion USD  </w:t>
      </w:r>
      <w:r w:rsidRPr="00451B6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2016</w:t>
      </w:r>
      <w:r w:rsidRPr="00451B6C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451B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70EA1F94" w14:textId="77777777" w:rsidR="007429AA" w:rsidRPr="00C95A92" w:rsidRDefault="007429AA" w:rsidP="00C95A92">
      <w:pPr>
        <w:pStyle w:val="ListParagraph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143.</w:t>
      </w:r>
      <w:r w:rsidR="00AF280E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Pr="00332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 (201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5)</w:t>
      </w:r>
      <w:r w:rsidRPr="00451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CA6667" w14:textId="77777777" w:rsidR="009C2E19" w:rsidRPr="00D32ABF" w:rsidRDefault="009C2E19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75E26" w14:textId="77777777" w:rsidR="007429AA" w:rsidRPr="00451B6C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D70">
        <w:rPr>
          <w:rFonts w:ascii="Times New Roman" w:hAnsi="Times New Roman" w:cs="Times New Roman"/>
          <w:b/>
          <w:bCs/>
          <w:sz w:val="24"/>
          <w:szCs w:val="24"/>
          <w:lang w:val="en-US"/>
        </w:rPr>
        <w:t>Imports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1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98</w:t>
      </w:r>
      <w:r w:rsidR="00F505C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</w:p>
    <w:p w14:paraId="2E73C4C0" w14:textId="77777777" w:rsidR="007429AA" w:rsidRPr="00451B6C" w:rsidRDefault="007429AA" w:rsidP="007429AA">
      <w:pPr>
        <w:pStyle w:val="ListParagraph"/>
        <w:spacing w:after="0" w:line="240" w:lineRule="auto"/>
        <w:ind w:left="142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1B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207.2 billion USD (2015)</w:t>
      </w:r>
    </w:p>
    <w:p w14:paraId="2A4FD7A3" w14:textId="77777777" w:rsidR="007429AA" w:rsidRDefault="007429AA" w:rsidP="007429AA">
      <w:pPr>
        <w:pStyle w:val="ListParagraph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</w:p>
    <w:p w14:paraId="5410528B" w14:textId="77777777" w:rsidR="007429AA" w:rsidRPr="00451B6C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E19">
        <w:rPr>
          <w:rFonts w:ascii="Times New Roman" w:hAnsi="Times New Roman" w:cs="Times New Roman"/>
          <w:b/>
          <w:bCs/>
          <w:sz w:val="24"/>
          <w:szCs w:val="24"/>
          <w:lang w:val="en-US"/>
        </w:rPr>
        <w:t>Trade volume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F505C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22385">
        <w:rPr>
          <w:rFonts w:ascii="Times New Roman" w:hAnsi="Times New Roman" w:cs="Times New Roman"/>
          <w:sz w:val="24"/>
          <w:szCs w:val="24"/>
          <w:lang w:val="en-US"/>
        </w:rPr>
        <w:t>41.1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billion USD (</w:t>
      </w:r>
      <w:r w:rsidR="00422385">
        <w:rPr>
          <w:rFonts w:ascii="Times New Roman" w:hAnsi="Times New Roman" w:cs="Times New Roman"/>
          <w:bCs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997BA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</w:p>
    <w:p w14:paraId="113B7F88" w14:textId="77777777" w:rsidR="007429AA" w:rsidRPr="00B92758" w:rsidRDefault="007429AA" w:rsidP="007429AA">
      <w:pPr>
        <w:pStyle w:val="ListParagraph"/>
        <w:spacing w:after="0" w:line="240" w:lineRule="auto"/>
        <w:ind w:left="212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28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2FB7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51 billion USD</w:t>
      </w:r>
      <w:r w:rsidRPr="00332F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5)</w:t>
      </w:r>
    </w:p>
    <w:p w14:paraId="32984080" w14:textId="77777777" w:rsidR="007429AA" w:rsidRPr="001C338B" w:rsidRDefault="007429AA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EF3BE7" w14:textId="77777777" w:rsidR="00AF280E" w:rsidRDefault="00AF280E" w:rsidP="00AF280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EF1313">
        <w:rPr>
          <w:rFonts w:ascii="Times New Roman" w:hAnsi="Times New Roman" w:cs="Times New Roman"/>
          <w:b/>
          <w:sz w:val="24"/>
          <w:szCs w:val="24"/>
          <w:lang w:val="en-US"/>
        </w:rPr>
        <w:t>ate of Exports Meeting I</w:t>
      </w:r>
      <w:r w:rsidRPr="00AF280E">
        <w:rPr>
          <w:rFonts w:ascii="Times New Roman" w:hAnsi="Times New Roman" w:cs="Times New Roman"/>
          <w:b/>
          <w:sz w:val="24"/>
          <w:szCs w:val="24"/>
          <w:lang w:val="en-US"/>
        </w:rPr>
        <w:t>mports</w:t>
      </w:r>
      <w:r w:rsidRPr="0065035A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6482">
        <w:rPr>
          <w:rFonts w:ascii="Times New Roman" w:hAnsi="Times New Roman" w:cs="Times New Roman"/>
          <w:sz w:val="24"/>
          <w:szCs w:val="24"/>
          <w:lang w:val="en-US"/>
        </w:rPr>
        <w:t>71</w:t>
      </w:r>
      <w:r w:rsidR="00E17C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8648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F280E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E17C43">
        <w:rPr>
          <w:rFonts w:ascii="Times New Roman" w:hAnsi="Times New Roman" w:cs="Times New Roman"/>
          <w:sz w:val="24"/>
          <w:szCs w:val="24"/>
          <w:lang w:val="en-US"/>
        </w:rPr>
        <w:t xml:space="preserve"> (2016)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15D9D8C0" w14:textId="77777777" w:rsidR="00AF280E" w:rsidRPr="00AF280E" w:rsidRDefault="00AF280E" w:rsidP="00AF280E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28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615CEA55" w14:textId="77777777" w:rsidR="007429AA" w:rsidRPr="00483886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E19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Turkish Official Development Assistance</w:t>
      </w:r>
      <w:r w:rsidRPr="00457B63">
        <w:rPr>
          <w:rFonts w:ascii="Times New Roman" w:hAnsi="Times New Roman" w:cs="Times New Roman"/>
          <w:bCs/>
          <w:sz w:val="24"/>
          <w:szCs w:val="24"/>
          <w:lang w:val="en-US"/>
        </w:rPr>
        <w:t>: 3.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Pr="00457B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 in 201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="00FC383D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4</w:t>
      </w:r>
    </w:p>
    <w:p w14:paraId="788A6496" w14:textId="12DA81F7" w:rsidR="00483886" w:rsidRPr="00483886" w:rsidRDefault="00483886" w:rsidP="00483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6.1 billion USD in 2016 (estimate)</w:t>
      </w:r>
    </w:p>
    <w:p w14:paraId="44969BA4" w14:textId="77777777" w:rsidR="007429AA" w:rsidRPr="001C338B" w:rsidRDefault="007429AA" w:rsidP="00A4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DDB778" w14:textId="75129A69" w:rsidR="007429AA" w:rsidRDefault="00C95A92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Reserve of Foreign E</w:t>
      </w:r>
      <w:r w:rsidR="007429AA" w:rsidRPr="009C2E19">
        <w:rPr>
          <w:rFonts w:ascii="Times New Roman" w:hAnsi="Times New Roman" w:cs="Times New Roman"/>
          <w:b/>
          <w:sz w:val="24"/>
          <w:szCs w:val="24"/>
          <w:lang w:val="en-US"/>
        </w:rPr>
        <w:t>xchange</w:t>
      </w:r>
      <w:r w:rsidR="007429AA" w:rsidRPr="00C331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1B36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C21F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1B36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9AA" w:rsidRPr="00457B63">
        <w:rPr>
          <w:rFonts w:ascii="Times New Roman" w:hAnsi="Times New Roman" w:cs="Times New Roman"/>
          <w:sz w:val="24"/>
          <w:szCs w:val="24"/>
          <w:lang w:val="en-US"/>
        </w:rPr>
        <w:t>billion USD</w:t>
      </w:r>
      <w:r w:rsidR="00742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9AA" w:rsidRPr="0060035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21F1B">
        <w:rPr>
          <w:rFonts w:ascii="Times New Roman" w:hAnsi="Times New Roman" w:cs="Times New Roman"/>
          <w:sz w:val="24"/>
          <w:szCs w:val="24"/>
          <w:lang w:val="en-US"/>
        </w:rPr>
        <w:t>31 March 2017</w:t>
      </w:r>
      <w:r w:rsidR="007429AA" w:rsidRPr="006003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6C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4D46F14" w14:textId="77777777" w:rsidR="007429AA" w:rsidRPr="009F2310" w:rsidRDefault="007429AA" w:rsidP="007429A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54B62F1A" w14:textId="2D10C1AF" w:rsidR="007429AA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E19">
        <w:rPr>
          <w:rFonts w:ascii="Times New Roman" w:hAnsi="Times New Roman" w:cs="Times New Roman"/>
          <w:b/>
          <w:sz w:val="24"/>
          <w:szCs w:val="24"/>
          <w:lang w:val="en-US"/>
        </w:rPr>
        <w:t>Banking Sector Capital Adequacy Ratio</w:t>
      </w:r>
      <w:r w:rsidR="00AE3518">
        <w:rPr>
          <w:rFonts w:ascii="Times New Roman" w:hAnsi="Times New Roman" w:cs="Times New Roman"/>
          <w:sz w:val="24"/>
          <w:szCs w:val="24"/>
          <w:lang w:val="en-US"/>
        </w:rPr>
        <w:t>: 1</w:t>
      </w:r>
      <w:r w:rsidR="00317071">
        <w:rPr>
          <w:rFonts w:ascii="Times New Roman" w:hAnsi="Times New Roman" w:cs="Times New Roman"/>
          <w:sz w:val="24"/>
          <w:szCs w:val="24"/>
          <w:lang w:val="en-US"/>
        </w:rPr>
        <w:t>5.6</w:t>
      </w:r>
      <w:r w:rsidR="00AE3518">
        <w:rPr>
          <w:rFonts w:ascii="Times New Roman" w:hAnsi="Times New Roman" w:cs="Times New Roman"/>
          <w:sz w:val="24"/>
          <w:szCs w:val="24"/>
          <w:lang w:val="en-US"/>
        </w:rPr>
        <w:t xml:space="preserve"> % (2016, </w:t>
      </w:r>
      <w:r w:rsidR="00317071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6C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6C39D44E" w14:textId="77777777" w:rsidR="00A43551" w:rsidRPr="00A43551" w:rsidRDefault="00A43551" w:rsidP="00A4355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192A8B4" w14:textId="667C8DFE" w:rsidR="00A43551" w:rsidRPr="0060035B" w:rsidRDefault="00A43551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E19">
        <w:rPr>
          <w:rFonts w:ascii="Times New Roman" w:hAnsi="Times New Roman" w:cs="Times New Roman"/>
          <w:b/>
          <w:sz w:val="24"/>
          <w:szCs w:val="24"/>
          <w:lang w:val="en-US"/>
        </w:rPr>
        <w:t>Public Net Debt Stock</w:t>
      </w:r>
      <w:r w:rsidR="00AE35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17071">
        <w:rPr>
          <w:rFonts w:ascii="Times New Roman" w:hAnsi="Times New Roman" w:cs="Times New Roman"/>
          <w:sz w:val="24"/>
          <w:szCs w:val="24"/>
          <w:lang w:val="en-US"/>
        </w:rPr>
        <w:t>218.9</w:t>
      </w:r>
      <w:r w:rsidR="00AE3518">
        <w:rPr>
          <w:rFonts w:ascii="Times New Roman" w:hAnsi="Times New Roman" w:cs="Times New Roman"/>
          <w:sz w:val="24"/>
          <w:szCs w:val="24"/>
          <w:lang w:val="en-US"/>
        </w:rPr>
        <w:t xml:space="preserve"> billion </w:t>
      </w:r>
      <w:r w:rsidR="001C3C70">
        <w:rPr>
          <w:rFonts w:ascii="Times New Roman" w:hAnsi="Times New Roman" w:cs="Times New Roman"/>
          <w:sz w:val="24"/>
          <w:szCs w:val="24"/>
          <w:lang w:val="en-US"/>
        </w:rPr>
        <w:t>TL</w:t>
      </w:r>
      <w:r w:rsidR="00AE351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17071">
        <w:rPr>
          <w:rFonts w:ascii="Times New Roman" w:hAnsi="Times New Roman" w:cs="Times New Roman"/>
          <w:sz w:val="24"/>
          <w:szCs w:val="24"/>
          <w:lang w:val="en-US"/>
        </w:rPr>
        <w:t>31 December 2016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6C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725EB84F" w14:textId="77777777" w:rsidR="007429AA" w:rsidRPr="001C338B" w:rsidRDefault="007429AA" w:rsidP="00742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D1B460" w14:textId="77777777" w:rsidR="007429AA" w:rsidRPr="00464E87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B63">
        <w:rPr>
          <w:rFonts w:ascii="Times New Roman" w:hAnsi="Times New Roman"/>
          <w:sz w:val="24"/>
          <w:szCs w:val="24"/>
          <w:lang w:val="en-US"/>
        </w:rPr>
        <w:t xml:space="preserve">Agreements for the </w:t>
      </w:r>
      <w:r w:rsidRPr="00472CCE">
        <w:rPr>
          <w:rFonts w:ascii="Times New Roman" w:hAnsi="Times New Roman"/>
          <w:b/>
          <w:sz w:val="24"/>
          <w:szCs w:val="24"/>
          <w:lang w:val="en-US"/>
        </w:rPr>
        <w:t>Avoidance of Double Taxation and the Prevention of Fiscal Evasion</w:t>
      </w:r>
      <w:r w:rsidRPr="00E870BE">
        <w:rPr>
          <w:rFonts w:ascii="Times New Roman" w:hAnsi="Times New Roman"/>
          <w:sz w:val="24"/>
          <w:szCs w:val="24"/>
          <w:lang w:val="en-US"/>
        </w:rPr>
        <w:t xml:space="preserve"> with respect to Taxes on Income with </w:t>
      </w:r>
      <w:r>
        <w:rPr>
          <w:rFonts w:ascii="Times New Roman" w:hAnsi="Times New Roman"/>
          <w:sz w:val="24"/>
          <w:szCs w:val="24"/>
          <w:lang w:val="en-US"/>
        </w:rPr>
        <w:t>82</w:t>
      </w:r>
      <w:r w:rsidRPr="00E870BE">
        <w:rPr>
          <w:rFonts w:ascii="Times New Roman" w:hAnsi="Times New Roman"/>
          <w:sz w:val="24"/>
          <w:szCs w:val="24"/>
          <w:lang w:val="en-US"/>
        </w:rPr>
        <w:t xml:space="preserve"> countries.</w:t>
      </w:r>
    </w:p>
    <w:p w14:paraId="260187B1" w14:textId="77777777" w:rsidR="007429AA" w:rsidRPr="00464E87" w:rsidRDefault="007429AA" w:rsidP="007429A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3BF4959" w14:textId="77777777" w:rsidR="007429AA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E87">
        <w:rPr>
          <w:rFonts w:ascii="Times New Roman" w:hAnsi="Times New Roman" w:cs="Times New Roman"/>
          <w:sz w:val="24"/>
          <w:szCs w:val="24"/>
          <w:lang w:val="en-US"/>
        </w:rPr>
        <w:t xml:space="preserve">Agreements for </w:t>
      </w:r>
      <w:r w:rsidRPr="00472CCE">
        <w:rPr>
          <w:rFonts w:ascii="Times New Roman" w:hAnsi="Times New Roman" w:cs="Times New Roman"/>
          <w:b/>
          <w:sz w:val="24"/>
          <w:szCs w:val="24"/>
          <w:lang w:val="en-US"/>
        </w:rPr>
        <w:t>Reciprocal Promotion and Protection of Investments</w:t>
      </w:r>
      <w:r w:rsidRPr="00464E87">
        <w:rPr>
          <w:rFonts w:ascii="Times New Roman" w:hAnsi="Times New Roman" w:cs="Times New Roman"/>
          <w:sz w:val="24"/>
          <w:szCs w:val="24"/>
          <w:lang w:val="en-US"/>
        </w:rPr>
        <w:t xml:space="preserve"> with 98 countries </w:t>
      </w:r>
    </w:p>
    <w:p w14:paraId="7C6DB013" w14:textId="77777777" w:rsidR="007429AA" w:rsidRPr="00464E87" w:rsidRDefault="007429AA" w:rsidP="007429AA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708B374" w14:textId="77777777" w:rsidR="007429AA" w:rsidRPr="00464E87" w:rsidRDefault="00896641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7429AA" w:rsidRPr="00472C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Free Trade Agreements in force</w:t>
      </w:r>
      <w:r>
        <w:rPr>
          <w:rFonts w:ascii="Times New Roman" w:hAnsi="Times New Roman" w:cs="Times New Roman"/>
          <w:sz w:val="24"/>
          <w:szCs w:val="24"/>
          <w:lang w:val="en-US"/>
        </w:rPr>
        <w:t>: 18</w:t>
      </w:r>
      <w:r w:rsidR="007429AA" w:rsidRPr="00464E87">
        <w:rPr>
          <w:rFonts w:ascii="Times New Roman" w:hAnsi="Times New Roman" w:cs="Times New Roman"/>
          <w:sz w:val="24"/>
          <w:szCs w:val="24"/>
          <w:lang w:val="en-US"/>
        </w:rPr>
        <w:t xml:space="preserve"> countries and EFTA.</w:t>
      </w:r>
      <w:r w:rsidR="004B6C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14:paraId="43D92801" w14:textId="77777777" w:rsidR="007429AA" w:rsidRDefault="007429AA" w:rsidP="007429A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E09769" w14:textId="77777777" w:rsidR="007429AA" w:rsidRPr="00EF1313" w:rsidRDefault="007429AA" w:rsidP="007429AA">
      <w:pPr>
        <w:pStyle w:val="ListParagraph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1313">
        <w:rPr>
          <w:rFonts w:ascii="Times New Roman" w:hAnsi="Times New Roman" w:cs="Times New Roman"/>
          <w:b/>
          <w:sz w:val="24"/>
          <w:szCs w:val="24"/>
          <w:lang w:val="en-US"/>
        </w:rPr>
        <w:t>Tourism</w:t>
      </w:r>
      <w:r w:rsidRPr="00EF1313">
        <w:rPr>
          <w:rFonts w:ascii="Times New Roman" w:hAnsi="Times New Roman" w:cs="Times New Roman"/>
          <w:sz w:val="24"/>
          <w:szCs w:val="24"/>
          <w:lang w:val="en-US"/>
        </w:rPr>
        <w:t xml:space="preserve"> (2015): 41.6 million visitors; 31.</w:t>
      </w:r>
      <w:r w:rsidR="00802CA7" w:rsidRPr="00EF131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F1313">
        <w:rPr>
          <w:rFonts w:ascii="Times New Roman" w:hAnsi="Times New Roman" w:cs="Times New Roman"/>
          <w:sz w:val="24"/>
          <w:szCs w:val="24"/>
          <w:lang w:val="en-US"/>
        </w:rPr>
        <w:t xml:space="preserve"> billion USD revenue</w:t>
      </w:r>
    </w:p>
    <w:p w14:paraId="4F1D8A4F" w14:textId="77777777" w:rsidR="007429AA" w:rsidRPr="00997BAA" w:rsidRDefault="007429AA" w:rsidP="00EF1313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9C2E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Tourism </w:t>
      </w:r>
      <w:r w:rsidRPr="009C2E1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2385">
        <w:rPr>
          <w:rFonts w:ascii="Times New Roman" w:hAnsi="Times New Roman" w:cs="Times New Roman"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  <w:lang w:val="en-US"/>
        </w:rPr>
        <w:t>): 2</w:t>
      </w:r>
      <w:r w:rsidR="00422385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2385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million visitors; </w:t>
      </w:r>
      <w:r w:rsidR="00422385">
        <w:rPr>
          <w:rFonts w:ascii="Times New Roman" w:hAnsi="Times New Roman" w:cs="Times New Roman"/>
          <w:sz w:val="24"/>
          <w:szCs w:val="24"/>
          <w:lang w:val="en-US"/>
        </w:rPr>
        <w:t>22.1</w:t>
      </w:r>
      <w:r w:rsidR="00802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billion USD revenue.</w:t>
      </w:r>
      <w:r w:rsidR="00997B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3B4FD995" w14:textId="77777777" w:rsidR="0075097E" w:rsidRDefault="0075097E"/>
    <w:sectPr w:rsidR="007509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73A4" w14:textId="77777777" w:rsidR="002B3465" w:rsidRDefault="002B3465" w:rsidP="007429AA">
      <w:pPr>
        <w:spacing w:after="0" w:line="240" w:lineRule="auto"/>
      </w:pPr>
      <w:r>
        <w:separator/>
      </w:r>
    </w:p>
  </w:endnote>
  <w:endnote w:type="continuationSeparator" w:id="0">
    <w:p w14:paraId="03AF38F8" w14:textId="77777777" w:rsidR="002B3465" w:rsidRDefault="002B3465" w:rsidP="0074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D0DC1" w14:textId="77777777" w:rsidR="00997BAA" w:rsidRPr="001F5E45" w:rsidRDefault="00997BAA" w:rsidP="00997BAA">
    <w:pPr>
      <w:pStyle w:val="Footer"/>
      <w:rPr>
        <w:sz w:val="16"/>
      </w:rPr>
    </w:pPr>
    <w:r w:rsidRPr="001F5E45">
      <w:rPr>
        <w:sz w:val="16"/>
      </w:rPr>
      <w:t>1. Turkish Statistical Institute</w:t>
    </w:r>
  </w:p>
  <w:p w14:paraId="58A5779C" w14:textId="77777777" w:rsidR="00997BAA" w:rsidRPr="001F5E45" w:rsidRDefault="00997BAA" w:rsidP="00997BAA">
    <w:pPr>
      <w:pStyle w:val="Footer"/>
      <w:rPr>
        <w:sz w:val="16"/>
      </w:rPr>
    </w:pPr>
    <w:r w:rsidRPr="001F5E45">
      <w:rPr>
        <w:sz w:val="16"/>
      </w:rPr>
      <w:t xml:space="preserve">2. Undersecretariat of Treasury of Turkey </w:t>
    </w:r>
  </w:p>
  <w:p w14:paraId="5EEA8BFD" w14:textId="77777777" w:rsidR="00997BAA" w:rsidRDefault="00997BAA" w:rsidP="00997BAA">
    <w:pPr>
      <w:pStyle w:val="Footer"/>
      <w:rPr>
        <w:sz w:val="16"/>
      </w:rPr>
    </w:pPr>
    <w:r w:rsidRPr="001F5E45">
      <w:rPr>
        <w:sz w:val="16"/>
      </w:rPr>
      <w:t>3.</w:t>
    </w:r>
    <w:r w:rsidR="001F5E45">
      <w:rPr>
        <w:sz w:val="16"/>
      </w:rPr>
      <w:t xml:space="preserve"> </w:t>
    </w:r>
    <w:r w:rsidR="004B6C5E">
      <w:rPr>
        <w:sz w:val="16"/>
      </w:rPr>
      <w:t>The Ministry of Economy</w:t>
    </w:r>
    <w:r w:rsidR="001F5E45" w:rsidRPr="001F5E45">
      <w:rPr>
        <w:sz w:val="16"/>
      </w:rPr>
      <w:t xml:space="preserve"> of Turkey</w:t>
    </w:r>
  </w:p>
  <w:p w14:paraId="67094D76" w14:textId="77777777" w:rsidR="001F5E45" w:rsidRPr="001F5E45" w:rsidRDefault="001F5E45" w:rsidP="00997BAA">
    <w:pPr>
      <w:pStyle w:val="Footer"/>
      <w:rPr>
        <w:sz w:val="16"/>
      </w:rPr>
    </w:pPr>
    <w:r>
      <w:rPr>
        <w:sz w:val="16"/>
      </w:rPr>
      <w:t>4. Turkish Cooperation and Coordination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48247" w14:textId="77777777" w:rsidR="002B3465" w:rsidRDefault="002B3465" w:rsidP="007429AA">
      <w:pPr>
        <w:spacing w:after="0" w:line="240" w:lineRule="auto"/>
      </w:pPr>
      <w:r>
        <w:separator/>
      </w:r>
    </w:p>
  </w:footnote>
  <w:footnote w:type="continuationSeparator" w:id="0">
    <w:p w14:paraId="1662B3B6" w14:textId="77777777" w:rsidR="002B3465" w:rsidRDefault="002B3465" w:rsidP="0074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FB4D3" w14:textId="5C170EC2" w:rsidR="00E870BE" w:rsidRPr="00451B6C" w:rsidRDefault="00A76A58" w:rsidP="00C575A7">
    <w:pPr>
      <w:pStyle w:val="Header"/>
      <w:pBdr>
        <w:bottom w:val="single" w:sz="8" w:space="1" w:color="auto"/>
      </w:pBdr>
      <w:tabs>
        <w:tab w:val="clear" w:pos="4536"/>
        <w:tab w:val="clear" w:pos="9072"/>
        <w:tab w:val="left" w:pos="7797"/>
      </w:tabs>
      <w:rPr>
        <w:rFonts w:ascii="Times New Roman" w:hAnsi="Times New Roman"/>
        <w:b/>
        <w:sz w:val="24"/>
      </w:rPr>
    </w:pPr>
    <w:r w:rsidRPr="00451B6C">
      <w:rPr>
        <w:rFonts w:ascii="Times New Roman" w:hAnsi="Times New Roman"/>
        <w:b/>
        <w:sz w:val="24"/>
      </w:rPr>
      <w:t xml:space="preserve">İEGY                                                                                                </w:t>
    </w:r>
    <w:r>
      <w:rPr>
        <w:rFonts w:ascii="Times New Roman" w:hAnsi="Times New Roman"/>
        <w:b/>
        <w:sz w:val="24"/>
      </w:rPr>
      <w:t xml:space="preserve">           </w:t>
    </w:r>
    <w:r w:rsidR="006030C7">
      <w:rPr>
        <w:rFonts w:ascii="Times New Roman" w:hAnsi="Times New Roman"/>
        <w:b/>
        <w:sz w:val="24"/>
      </w:rPr>
      <w:t xml:space="preserve">      </w:t>
    </w:r>
    <w:r w:rsidR="002F1C00">
      <w:rPr>
        <w:rFonts w:ascii="Times New Roman" w:hAnsi="Times New Roman"/>
        <w:b/>
        <w:sz w:val="24"/>
      </w:rPr>
      <w:t xml:space="preserve">        </w:t>
    </w:r>
    <w:r w:rsidR="002A2C2F">
      <w:rPr>
        <w:rFonts w:ascii="Times New Roman" w:hAnsi="Times New Roman"/>
        <w:b/>
        <w:sz w:val="24"/>
      </w:rPr>
      <w:t>April</w:t>
    </w:r>
    <w:r w:rsidR="00624B77">
      <w:rPr>
        <w:rFonts w:ascii="Times New Roman" w:hAnsi="Times New Roman"/>
        <w:b/>
        <w:sz w:val="24"/>
      </w:rPr>
      <w:t xml:space="preserve"> 2017</w:t>
    </w:r>
  </w:p>
  <w:p w14:paraId="0618D5AD" w14:textId="77777777" w:rsidR="00E870BE" w:rsidRDefault="002B3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5360B"/>
    <w:multiLevelType w:val="hybridMultilevel"/>
    <w:tmpl w:val="FE360F34"/>
    <w:lvl w:ilvl="0" w:tplc="996087D8">
      <w:start w:val="2002"/>
      <w:numFmt w:val="decimal"/>
      <w:lvlText w:val="%1"/>
      <w:lvlJc w:val="left"/>
      <w:pPr>
        <w:ind w:left="2604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2461591"/>
    <w:multiLevelType w:val="hybridMultilevel"/>
    <w:tmpl w:val="979CD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69EC"/>
    <w:multiLevelType w:val="hybridMultilevel"/>
    <w:tmpl w:val="4F3052F6"/>
    <w:lvl w:ilvl="0" w:tplc="4C885A3E">
      <w:start w:val="2011"/>
      <w:numFmt w:val="decimal"/>
      <w:lvlText w:val="%1"/>
      <w:lvlJc w:val="left"/>
      <w:pPr>
        <w:ind w:left="2604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2D27717A"/>
    <w:multiLevelType w:val="multilevel"/>
    <w:tmpl w:val="4CE0C448"/>
    <w:lvl w:ilvl="0">
      <w:start w:val="14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25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64" w:hanging="1800"/>
      </w:pPr>
      <w:rPr>
        <w:rFonts w:hint="default"/>
      </w:rPr>
    </w:lvl>
  </w:abstractNum>
  <w:abstractNum w:abstractNumId="4" w15:restartNumberingAfterBreak="0">
    <w:nsid w:val="6A591375"/>
    <w:multiLevelType w:val="hybridMultilevel"/>
    <w:tmpl w:val="2D628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D1"/>
    <w:rsid w:val="00002256"/>
    <w:rsid w:val="000960B4"/>
    <w:rsid w:val="00147457"/>
    <w:rsid w:val="001710E1"/>
    <w:rsid w:val="001C3C70"/>
    <w:rsid w:val="001F5E45"/>
    <w:rsid w:val="002865EA"/>
    <w:rsid w:val="002A2C2F"/>
    <w:rsid w:val="002B3465"/>
    <w:rsid w:val="002C038D"/>
    <w:rsid w:val="002C2CA1"/>
    <w:rsid w:val="002F1C00"/>
    <w:rsid w:val="00306A8A"/>
    <w:rsid w:val="00317071"/>
    <w:rsid w:val="00327E03"/>
    <w:rsid w:val="003D46A1"/>
    <w:rsid w:val="003E3183"/>
    <w:rsid w:val="00402942"/>
    <w:rsid w:val="00422385"/>
    <w:rsid w:val="00472CCE"/>
    <w:rsid w:val="00483886"/>
    <w:rsid w:val="004B4401"/>
    <w:rsid w:val="004B58AB"/>
    <w:rsid w:val="004B6C5E"/>
    <w:rsid w:val="00513536"/>
    <w:rsid w:val="005206D5"/>
    <w:rsid w:val="005301A1"/>
    <w:rsid w:val="00582D33"/>
    <w:rsid w:val="005C625B"/>
    <w:rsid w:val="006030C7"/>
    <w:rsid w:val="006070AB"/>
    <w:rsid w:val="00624B77"/>
    <w:rsid w:val="00643016"/>
    <w:rsid w:val="0065035A"/>
    <w:rsid w:val="00662CFB"/>
    <w:rsid w:val="006A5AC5"/>
    <w:rsid w:val="006B254D"/>
    <w:rsid w:val="006C64B2"/>
    <w:rsid w:val="006E50DE"/>
    <w:rsid w:val="006F2ACD"/>
    <w:rsid w:val="00704299"/>
    <w:rsid w:val="00713BB9"/>
    <w:rsid w:val="007429AA"/>
    <w:rsid w:val="00743FC8"/>
    <w:rsid w:val="0075097E"/>
    <w:rsid w:val="007746EF"/>
    <w:rsid w:val="00792E1B"/>
    <w:rsid w:val="007B5D99"/>
    <w:rsid w:val="007D16AA"/>
    <w:rsid w:val="007E05C6"/>
    <w:rsid w:val="007F1B29"/>
    <w:rsid w:val="00801625"/>
    <w:rsid w:val="00802CA7"/>
    <w:rsid w:val="008406F9"/>
    <w:rsid w:val="00896641"/>
    <w:rsid w:val="008B0EC3"/>
    <w:rsid w:val="008D1BF9"/>
    <w:rsid w:val="009169D1"/>
    <w:rsid w:val="009716E5"/>
    <w:rsid w:val="00997BAA"/>
    <w:rsid w:val="009C2E19"/>
    <w:rsid w:val="009E0CF4"/>
    <w:rsid w:val="009F23D4"/>
    <w:rsid w:val="00A43551"/>
    <w:rsid w:val="00A4540D"/>
    <w:rsid w:val="00A61B36"/>
    <w:rsid w:val="00A76A58"/>
    <w:rsid w:val="00A7771A"/>
    <w:rsid w:val="00A82E15"/>
    <w:rsid w:val="00AA697B"/>
    <w:rsid w:val="00AA74E1"/>
    <w:rsid w:val="00AC39F7"/>
    <w:rsid w:val="00AE3518"/>
    <w:rsid w:val="00AF280E"/>
    <w:rsid w:val="00B35A76"/>
    <w:rsid w:val="00B3732F"/>
    <w:rsid w:val="00B52418"/>
    <w:rsid w:val="00B563CD"/>
    <w:rsid w:val="00B57FA0"/>
    <w:rsid w:val="00B72DCE"/>
    <w:rsid w:val="00B8010E"/>
    <w:rsid w:val="00BC3599"/>
    <w:rsid w:val="00BC37C2"/>
    <w:rsid w:val="00BD7C03"/>
    <w:rsid w:val="00C03C50"/>
    <w:rsid w:val="00C21ADC"/>
    <w:rsid w:val="00C21F1B"/>
    <w:rsid w:val="00C33161"/>
    <w:rsid w:val="00C454BE"/>
    <w:rsid w:val="00C95A92"/>
    <w:rsid w:val="00CF1158"/>
    <w:rsid w:val="00D04EBE"/>
    <w:rsid w:val="00D34CF2"/>
    <w:rsid w:val="00D35AF4"/>
    <w:rsid w:val="00D41160"/>
    <w:rsid w:val="00D73462"/>
    <w:rsid w:val="00DE21ED"/>
    <w:rsid w:val="00DE266E"/>
    <w:rsid w:val="00E038DD"/>
    <w:rsid w:val="00E17C43"/>
    <w:rsid w:val="00E278F3"/>
    <w:rsid w:val="00E86482"/>
    <w:rsid w:val="00EA4C9A"/>
    <w:rsid w:val="00EC14D4"/>
    <w:rsid w:val="00EF1313"/>
    <w:rsid w:val="00F1149F"/>
    <w:rsid w:val="00F32C50"/>
    <w:rsid w:val="00F505C8"/>
    <w:rsid w:val="00FA06B6"/>
    <w:rsid w:val="00FB64E7"/>
    <w:rsid w:val="00FC383D"/>
    <w:rsid w:val="00FE2D70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75B36"/>
  <w15:docId w15:val="{B6B2AA14-D623-4E53-B7E2-DBA69FEE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AA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9AA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742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9AA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Dışişleri Bakanlığı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Kozluklu</dc:creator>
  <cp:keywords/>
  <dc:description/>
  <cp:lastModifiedBy>M. Kemalettin Eruygur</cp:lastModifiedBy>
  <cp:revision>102</cp:revision>
  <cp:lastPrinted>2017-01-03T12:26:00Z</cp:lastPrinted>
  <dcterms:created xsi:type="dcterms:W3CDTF">2016-12-22T07:59:00Z</dcterms:created>
  <dcterms:modified xsi:type="dcterms:W3CDTF">2017-04-11T12:35:00Z</dcterms:modified>
</cp:coreProperties>
</file>